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9D7F0" w14:textId="77777777" w:rsidR="0090194C" w:rsidRDefault="00000000">
      <w:pPr>
        <w:pStyle w:val="Heading10"/>
        <w:keepNext/>
        <w:keepLines/>
        <w:pBdr>
          <w:bottom w:val="single" w:sz="4" w:space="0" w:color="auto"/>
        </w:pBdr>
      </w:pPr>
      <w:bookmarkStart w:id="0" w:name="bookmark0"/>
      <w:r>
        <w:rPr>
          <w:rStyle w:val="Heading1"/>
          <w:b/>
          <w:bCs/>
        </w:rPr>
        <w:t xml:space="preserve">TARIFF OF BÚMENN </w:t>
      </w:r>
      <w:bookmarkEnd w:id="0"/>
    </w:p>
    <w:p w14:paraId="21CDD327" w14:textId="77777777" w:rsidR="0090194C" w:rsidRDefault="00000000">
      <w:pPr>
        <w:pStyle w:val="BodyText"/>
        <w:numPr>
          <w:ilvl w:val="0"/>
          <w:numId w:val="1"/>
        </w:numPr>
        <w:tabs>
          <w:tab w:val="left" w:pos="819"/>
        </w:tabs>
        <w:spacing w:line="240" w:lineRule="auto"/>
        <w:ind w:firstLine="360"/>
      </w:pPr>
      <w:r>
        <w:rPr>
          <w:rStyle w:val="BodyTextChar"/>
          <w:b/>
          <w:bCs/>
        </w:rPr>
        <w:t>CHANGE OF OWNERSHIP OF RESIDENCE RIGHT</w:t>
      </w:r>
    </w:p>
    <w:p w14:paraId="702A4526" w14:textId="77777777" w:rsidR="0090194C" w:rsidRDefault="00000000">
      <w:pPr>
        <w:pStyle w:val="Heading20"/>
        <w:keepNext/>
        <w:keepLines/>
        <w:numPr>
          <w:ilvl w:val="0"/>
          <w:numId w:val="2"/>
        </w:numPr>
        <w:tabs>
          <w:tab w:val="left" w:pos="742"/>
        </w:tabs>
        <w:spacing w:after="360" w:line="240" w:lineRule="auto"/>
      </w:pPr>
      <w:bookmarkStart w:id="1" w:name="bookmark2"/>
      <w:r>
        <w:rPr>
          <w:rStyle w:val="Heading2"/>
          <w:b/>
          <w:bCs/>
        </w:rPr>
        <w:t>Sale of residence right</w:t>
      </w:r>
      <w:bookmarkEnd w:id="1"/>
    </w:p>
    <w:tbl>
      <w:tblPr>
        <w:tblpPr w:vertAnchor="text" w:horzAnchor="page" w:tblpX="9170" w:tblpY="40"/>
        <w:tblW w:w="0" w:type="auto"/>
        <w:tblLayout w:type="fixed"/>
        <w:tblCellMar>
          <w:left w:w="10" w:type="dxa"/>
          <w:right w:w="10" w:type="dxa"/>
        </w:tblCellMar>
        <w:tblLook w:val="0000" w:firstRow="0" w:lastRow="0" w:firstColumn="0" w:lastColumn="0" w:noHBand="0" w:noVBand="0"/>
      </w:tblPr>
      <w:tblGrid>
        <w:gridCol w:w="747"/>
        <w:gridCol w:w="177"/>
        <w:gridCol w:w="1034"/>
        <w:gridCol w:w="177"/>
      </w:tblGrid>
      <w:tr w:rsidR="0090194C" w14:paraId="273462C7" w14:textId="77777777" w:rsidTr="00ED390D">
        <w:tblPrEx>
          <w:tblCellMar>
            <w:top w:w="0" w:type="dxa"/>
            <w:bottom w:w="0" w:type="dxa"/>
          </w:tblCellMar>
        </w:tblPrEx>
        <w:trPr>
          <w:trHeight w:hRule="exact" w:val="457"/>
          <w:tblHeader/>
        </w:trPr>
        <w:tc>
          <w:tcPr>
            <w:tcW w:w="924" w:type="dxa"/>
            <w:gridSpan w:val="2"/>
            <w:shd w:val="clear" w:color="auto" w:fill="auto"/>
          </w:tcPr>
          <w:p w14:paraId="20ABB5AC" w14:textId="77777777" w:rsidR="0090194C" w:rsidRDefault="00000000" w:rsidP="00ED390D">
            <w:pPr>
              <w:pStyle w:val="Other0"/>
              <w:spacing w:after="0" w:line="240" w:lineRule="auto"/>
              <w:jc w:val="both"/>
            </w:pPr>
            <w:r>
              <w:rPr>
                <w:rStyle w:val="Other"/>
              </w:rPr>
              <w:t>ISK</w:t>
            </w:r>
          </w:p>
        </w:tc>
        <w:tc>
          <w:tcPr>
            <w:tcW w:w="1211" w:type="dxa"/>
            <w:gridSpan w:val="2"/>
            <w:shd w:val="clear" w:color="auto" w:fill="auto"/>
          </w:tcPr>
          <w:p w14:paraId="76654C7E" w14:textId="77777777" w:rsidR="0090194C" w:rsidRDefault="00000000" w:rsidP="00ED390D">
            <w:pPr>
              <w:pStyle w:val="Other0"/>
              <w:spacing w:after="0" w:line="240" w:lineRule="auto"/>
              <w:jc w:val="right"/>
            </w:pPr>
            <w:r>
              <w:rPr>
                <w:rStyle w:val="Other"/>
              </w:rPr>
              <w:t>100,000</w:t>
            </w:r>
          </w:p>
        </w:tc>
      </w:tr>
      <w:tr w:rsidR="0090194C" w14:paraId="7C7747E0" w14:textId="77777777" w:rsidTr="00ED390D">
        <w:tblPrEx>
          <w:tblCellMar>
            <w:top w:w="0" w:type="dxa"/>
            <w:bottom w:w="0" w:type="dxa"/>
          </w:tblCellMar>
        </w:tblPrEx>
        <w:trPr>
          <w:trHeight w:hRule="exact" w:val="792"/>
        </w:trPr>
        <w:tc>
          <w:tcPr>
            <w:tcW w:w="924" w:type="dxa"/>
            <w:gridSpan w:val="2"/>
            <w:shd w:val="clear" w:color="auto" w:fill="auto"/>
          </w:tcPr>
          <w:p w14:paraId="1FBE4071" w14:textId="789EA8C4" w:rsidR="0090194C" w:rsidRDefault="00000000" w:rsidP="00ED390D">
            <w:pPr>
              <w:pStyle w:val="Other0"/>
              <w:spacing w:after="0" w:line="240" w:lineRule="auto"/>
              <w:ind w:right="-179"/>
              <w:jc w:val="both"/>
            </w:pPr>
            <w:r>
              <w:rPr>
                <w:rStyle w:val="Other"/>
              </w:rPr>
              <w:t>IS</w:t>
            </w:r>
            <w:r w:rsidR="00ED390D">
              <w:rPr>
                <w:rStyle w:val="Other"/>
              </w:rPr>
              <w:t>K</w:t>
            </w:r>
          </w:p>
        </w:tc>
        <w:tc>
          <w:tcPr>
            <w:tcW w:w="1211" w:type="dxa"/>
            <w:gridSpan w:val="2"/>
            <w:shd w:val="clear" w:color="auto" w:fill="auto"/>
          </w:tcPr>
          <w:p w14:paraId="60BAE1DA" w14:textId="77777777" w:rsidR="0090194C" w:rsidRDefault="00000000" w:rsidP="00ED390D">
            <w:pPr>
              <w:pStyle w:val="Other0"/>
              <w:spacing w:after="0" w:line="240" w:lineRule="auto"/>
              <w:jc w:val="right"/>
            </w:pPr>
            <w:r>
              <w:rPr>
                <w:rStyle w:val="Other"/>
              </w:rPr>
              <w:t>50,000</w:t>
            </w:r>
          </w:p>
        </w:tc>
      </w:tr>
      <w:tr w:rsidR="0090194C" w14:paraId="4AC3FD97" w14:textId="77777777" w:rsidTr="00ED390D">
        <w:tblPrEx>
          <w:tblCellMar>
            <w:top w:w="0" w:type="dxa"/>
            <w:bottom w:w="0" w:type="dxa"/>
          </w:tblCellMar>
        </w:tblPrEx>
        <w:trPr>
          <w:trHeight w:hRule="exact" w:val="784"/>
        </w:trPr>
        <w:tc>
          <w:tcPr>
            <w:tcW w:w="924" w:type="dxa"/>
            <w:gridSpan w:val="2"/>
            <w:shd w:val="clear" w:color="auto" w:fill="auto"/>
            <w:vAlign w:val="bottom"/>
          </w:tcPr>
          <w:p w14:paraId="070D5ADC" w14:textId="6BB98029" w:rsidR="0090194C" w:rsidRDefault="00000000" w:rsidP="00ED390D">
            <w:pPr>
              <w:pStyle w:val="Other0"/>
              <w:spacing w:after="0" w:line="240" w:lineRule="auto"/>
              <w:jc w:val="both"/>
            </w:pPr>
            <w:r>
              <w:rPr>
                <w:rStyle w:val="Other"/>
              </w:rPr>
              <w:t>ISK</w:t>
            </w:r>
          </w:p>
        </w:tc>
        <w:tc>
          <w:tcPr>
            <w:tcW w:w="1211" w:type="dxa"/>
            <w:gridSpan w:val="2"/>
            <w:shd w:val="clear" w:color="auto" w:fill="auto"/>
            <w:vAlign w:val="bottom"/>
          </w:tcPr>
          <w:p w14:paraId="01EAAC5D" w14:textId="77777777" w:rsidR="00ED390D" w:rsidRDefault="00ED390D" w:rsidP="00ED390D">
            <w:pPr>
              <w:pStyle w:val="Other0"/>
              <w:spacing w:after="0" w:line="240" w:lineRule="auto"/>
              <w:jc w:val="right"/>
              <w:rPr>
                <w:rStyle w:val="Other"/>
              </w:rPr>
            </w:pPr>
          </w:p>
          <w:p w14:paraId="26634E6A" w14:textId="4C58B37D" w:rsidR="0090194C" w:rsidRDefault="00000000" w:rsidP="00ED390D">
            <w:pPr>
              <w:pStyle w:val="Other0"/>
              <w:spacing w:after="0" w:line="240" w:lineRule="auto"/>
              <w:jc w:val="right"/>
            </w:pPr>
            <w:r>
              <w:rPr>
                <w:rStyle w:val="Other"/>
              </w:rPr>
              <w:t>200,000</w:t>
            </w:r>
          </w:p>
        </w:tc>
      </w:tr>
      <w:tr w:rsidR="0090194C" w14:paraId="341F572C" w14:textId="77777777" w:rsidTr="00ED390D">
        <w:tblPrEx>
          <w:tblCellMar>
            <w:top w:w="0" w:type="dxa"/>
            <w:bottom w:w="0" w:type="dxa"/>
          </w:tblCellMar>
        </w:tblPrEx>
        <w:trPr>
          <w:gridAfter w:val="1"/>
          <w:wAfter w:w="177" w:type="dxa"/>
          <w:trHeight w:hRule="exact" w:val="457"/>
        </w:trPr>
        <w:tc>
          <w:tcPr>
            <w:tcW w:w="747" w:type="dxa"/>
            <w:shd w:val="clear" w:color="auto" w:fill="auto"/>
            <w:vAlign w:val="bottom"/>
          </w:tcPr>
          <w:p w14:paraId="5BE475D3" w14:textId="77777777" w:rsidR="0090194C" w:rsidRDefault="00000000" w:rsidP="00ED390D">
            <w:pPr>
              <w:pStyle w:val="Other0"/>
              <w:spacing w:after="0" w:line="240" w:lineRule="auto"/>
              <w:jc w:val="both"/>
            </w:pPr>
            <w:r>
              <w:rPr>
                <w:rStyle w:val="Other"/>
              </w:rPr>
              <w:t>ISK</w:t>
            </w:r>
          </w:p>
        </w:tc>
        <w:tc>
          <w:tcPr>
            <w:tcW w:w="1211" w:type="dxa"/>
            <w:gridSpan w:val="2"/>
            <w:shd w:val="clear" w:color="auto" w:fill="auto"/>
            <w:vAlign w:val="bottom"/>
          </w:tcPr>
          <w:p w14:paraId="66891609" w14:textId="77777777" w:rsidR="0090194C" w:rsidRDefault="00000000" w:rsidP="00ED390D">
            <w:pPr>
              <w:pStyle w:val="Other0"/>
              <w:spacing w:after="0" w:line="240" w:lineRule="auto"/>
              <w:jc w:val="right"/>
            </w:pPr>
            <w:r>
              <w:rPr>
                <w:rStyle w:val="Other"/>
              </w:rPr>
              <w:t>80,000</w:t>
            </w:r>
          </w:p>
        </w:tc>
      </w:tr>
    </w:tbl>
    <w:p w14:paraId="31600F26" w14:textId="57C4F556" w:rsidR="0090194C" w:rsidRDefault="00000000" w:rsidP="00ED390D">
      <w:pPr>
        <w:pStyle w:val="BodyText"/>
        <w:numPr>
          <w:ilvl w:val="0"/>
          <w:numId w:val="3"/>
        </w:numPr>
        <w:tabs>
          <w:tab w:val="left" w:pos="757"/>
        </w:tabs>
        <w:spacing w:after="0"/>
        <w:ind w:left="709" w:hanging="349"/>
      </w:pPr>
      <w:r>
        <w:rPr>
          <w:rStyle w:val="BodyTextChar"/>
        </w:rPr>
        <w:t>isting fee paid by the seller of residence right</w:t>
      </w:r>
    </w:p>
    <w:p w14:paraId="4D31E851" w14:textId="77777777" w:rsidR="0090194C" w:rsidRDefault="00000000" w:rsidP="00ED390D">
      <w:pPr>
        <w:pStyle w:val="BodyText"/>
        <w:numPr>
          <w:ilvl w:val="0"/>
          <w:numId w:val="3"/>
        </w:numPr>
        <w:tabs>
          <w:tab w:val="left" w:pos="786"/>
        </w:tabs>
        <w:spacing w:after="0"/>
        <w:ind w:left="709" w:hanging="349"/>
      </w:pPr>
      <w:r>
        <w:rPr>
          <w:rStyle w:val="BodyTextChar"/>
        </w:rPr>
        <w:t>Additional advertisement at the request of the seller of the residence right</w:t>
      </w:r>
    </w:p>
    <w:p w14:paraId="0EAA3828" w14:textId="77777777" w:rsidR="0090194C" w:rsidRDefault="00000000" w:rsidP="00ED390D">
      <w:pPr>
        <w:pStyle w:val="BodyText"/>
        <w:numPr>
          <w:ilvl w:val="0"/>
          <w:numId w:val="3"/>
        </w:numPr>
        <w:tabs>
          <w:tab w:val="left" w:pos="757"/>
        </w:tabs>
        <w:spacing w:after="0"/>
        <w:ind w:left="709" w:hanging="349"/>
      </w:pPr>
      <w:r>
        <w:rPr>
          <w:rStyle w:val="BodyTextChar"/>
        </w:rPr>
        <w:t>The sales commission paid by the seller of the residence right is 2% of the sales price of the residence right, but as a minimum</w:t>
      </w:r>
      <w:r>
        <w:rPr>
          <w:rStyle w:val="BodyTextChar"/>
          <w:vertAlign w:val="superscript"/>
        </w:rPr>
        <w:footnoteReference w:id="1"/>
      </w:r>
    </w:p>
    <w:p w14:paraId="33390A02" w14:textId="77777777" w:rsidR="0090194C" w:rsidRDefault="00000000" w:rsidP="00ED390D">
      <w:pPr>
        <w:pStyle w:val="BodyText"/>
        <w:numPr>
          <w:ilvl w:val="0"/>
          <w:numId w:val="3"/>
        </w:numPr>
        <w:tabs>
          <w:tab w:val="left" w:pos="776"/>
        </w:tabs>
        <w:ind w:left="709" w:hanging="349"/>
      </w:pPr>
      <w:r>
        <w:rPr>
          <w:rStyle w:val="BodyTextChar"/>
        </w:rPr>
        <w:t>Administration fee paid by the purchaser of the residence right</w:t>
      </w:r>
    </w:p>
    <w:p w14:paraId="2E41C066" w14:textId="77777777" w:rsidR="0090194C" w:rsidRDefault="00000000" w:rsidP="00ED390D">
      <w:pPr>
        <w:pStyle w:val="Heading20"/>
        <w:keepNext/>
        <w:keepLines/>
        <w:numPr>
          <w:ilvl w:val="0"/>
          <w:numId w:val="2"/>
        </w:numPr>
        <w:tabs>
          <w:tab w:val="left" w:pos="752"/>
        </w:tabs>
        <w:spacing w:after="0" w:line="257" w:lineRule="auto"/>
        <w:ind w:left="709" w:hanging="349"/>
      </w:pPr>
      <w:bookmarkStart w:id="2" w:name="bookmark4"/>
      <w:r>
        <w:rPr>
          <w:rStyle w:val="Heading2"/>
          <w:b/>
          <w:bCs/>
        </w:rPr>
        <w:t>Transfer by inheritance or through the division of a marital estate due to divorce</w:t>
      </w:r>
      <w:bookmarkEnd w:id="2"/>
    </w:p>
    <w:p w14:paraId="2B7EE272" w14:textId="77777777" w:rsidR="0090194C" w:rsidRDefault="00000000">
      <w:pPr>
        <w:pStyle w:val="BodyText"/>
        <w:spacing w:after="740"/>
        <w:ind w:left="1080" w:hanging="360"/>
      </w:pPr>
      <w:r>
        <w:rPr>
          <w:noProof/>
        </w:rPr>
        <mc:AlternateContent>
          <mc:Choice Requires="wps">
            <w:drawing>
              <wp:anchor distT="0" distB="0" distL="0" distR="0" simplePos="0" relativeHeight="125829378" behindDoc="0" locked="0" layoutInCell="1" allowOverlap="1" wp14:anchorId="02A74B09" wp14:editId="66F63D35">
                <wp:simplePos x="0" y="0"/>
                <wp:positionH relativeFrom="page">
                  <wp:posOffset>5913120</wp:posOffset>
                </wp:positionH>
                <wp:positionV relativeFrom="paragraph">
                  <wp:posOffset>228600</wp:posOffset>
                </wp:positionV>
                <wp:extent cx="890270" cy="216535"/>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890270" cy="216535"/>
                        </a:xfrm>
                        <a:prstGeom prst="rect">
                          <a:avLst/>
                        </a:prstGeom>
                        <a:noFill/>
                      </wps:spPr>
                      <wps:txbx>
                        <w:txbxContent>
                          <w:p w14:paraId="4D5C8048" w14:textId="77777777" w:rsidR="0090194C" w:rsidRDefault="00000000">
                            <w:pPr>
                              <w:pStyle w:val="BodyText"/>
                              <w:spacing w:after="0" w:line="240" w:lineRule="auto"/>
                            </w:pPr>
                            <w:r>
                              <w:rPr>
                                <w:rStyle w:val="BodyTextChar"/>
                              </w:rPr>
                              <w:t>ISK 100,000</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65.60000000000002pt;margin-top:18.pt;width:70.100000000000009pt;height:17.050000000000001pt;z-index:-125829375;mso-wrap-distance-left:0;mso-wrap-distance-right:0;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rStyle w:val="CharStyle7"/>
                        </w:rPr>
                        <w:t xml:space="preserve">ISK</w:t>
                      </w:r>
                      <w:r>
                        <w:rPr>
                          <w:rStyle w:val="CharStyle7"/>
                        </w:rPr>
                        <w:t xml:space="preserve"> </w:t>
                      </w:r>
                      <w:r>
                        <w:rPr>
                          <w:rStyle w:val="CharStyle7"/>
                        </w:rPr>
                        <w:t xml:space="preserve">100,000</w:t>
                      </w:r>
                    </w:p>
                  </w:txbxContent>
                </v:textbox>
                <w10:wrap type="square" anchorx="page"/>
              </v:shape>
            </w:pict>
          </mc:Fallback>
        </mc:AlternateContent>
      </w:r>
      <w:r>
        <w:rPr>
          <w:rStyle w:val="BodyTextChar"/>
        </w:rPr>
        <w:t>a) Administration fee paid upon signing a new residence contract or declaration of change of ownership</w:t>
      </w:r>
    </w:p>
    <w:p w14:paraId="3DC1FDA4" w14:textId="77777777" w:rsidR="0090194C" w:rsidRDefault="00000000">
      <w:pPr>
        <w:pStyle w:val="Heading20"/>
        <w:keepNext/>
        <w:keepLines/>
        <w:numPr>
          <w:ilvl w:val="0"/>
          <w:numId w:val="1"/>
        </w:numPr>
        <w:tabs>
          <w:tab w:val="left" w:pos="800"/>
        </w:tabs>
        <w:spacing w:after="0" w:line="240" w:lineRule="auto"/>
      </w:pPr>
      <w:bookmarkStart w:id="3" w:name="bookmark6"/>
      <w:r>
        <w:rPr>
          <w:rStyle w:val="Heading2"/>
          <w:b/>
          <w:bCs/>
        </w:rPr>
        <w:t>CONCLUSION OF A RENTAL CONTRACT</w:t>
      </w:r>
      <w:bookmarkEnd w:id="3"/>
    </w:p>
    <w:p w14:paraId="562C4854" w14:textId="77777777" w:rsidR="0090194C" w:rsidRDefault="00000000" w:rsidP="00ED390D">
      <w:pPr>
        <w:pStyle w:val="BodyText"/>
        <w:spacing w:after="740" w:line="240" w:lineRule="auto"/>
        <w:ind w:left="993" w:hanging="273"/>
      </w:pPr>
      <w:r>
        <w:rPr>
          <w:noProof/>
        </w:rPr>
        <mc:AlternateContent>
          <mc:Choice Requires="wps">
            <w:drawing>
              <wp:anchor distT="0" distB="0" distL="0" distR="0" simplePos="0" relativeHeight="125829380" behindDoc="0" locked="0" layoutInCell="1" allowOverlap="1" wp14:anchorId="0F970927" wp14:editId="3046E10E">
                <wp:simplePos x="0" y="0"/>
                <wp:positionH relativeFrom="page">
                  <wp:posOffset>5913120</wp:posOffset>
                </wp:positionH>
                <wp:positionV relativeFrom="paragraph">
                  <wp:posOffset>12700</wp:posOffset>
                </wp:positionV>
                <wp:extent cx="887095" cy="216535"/>
                <wp:effectExtent l="0" t="0" r="0" b="0"/>
                <wp:wrapSquare wrapText="bothSides"/>
                <wp:docPr id="3" name="Shape 3"/>
                <wp:cNvGraphicFramePr/>
                <a:graphic xmlns:a="http://schemas.openxmlformats.org/drawingml/2006/main">
                  <a:graphicData uri="http://schemas.microsoft.com/office/word/2010/wordprocessingShape">
                    <wps:wsp>
                      <wps:cNvSpPr txBox="1"/>
                      <wps:spPr>
                        <a:xfrm>
                          <a:off x="0" y="0"/>
                          <a:ext cx="887095" cy="216535"/>
                        </a:xfrm>
                        <a:prstGeom prst="rect">
                          <a:avLst/>
                        </a:prstGeom>
                        <a:noFill/>
                      </wps:spPr>
                      <wps:txbx>
                        <w:txbxContent>
                          <w:p w14:paraId="7D9479E0" w14:textId="77777777" w:rsidR="0090194C" w:rsidRDefault="00000000">
                            <w:pPr>
                              <w:pStyle w:val="BodyText"/>
                              <w:spacing w:after="0" w:line="240" w:lineRule="auto"/>
                            </w:pPr>
                            <w:r>
                              <w:rPr>
                                <w:rStyle w:val="BodyTextChar"/>
                              </w:rPr>
                              <w:t>ISK 35,000</w:t>
                            </w:r>
                          </w:p>
                        </w:txbxContent>
                      </wps:txbx>
                      <wps:bodyPr wrap="none" lIns="0" tIns="0" rIns="0" bIns="0"/>
                    </wps:wsp>
                  </a:graphicData>
                </a:graphic>
              </wp:anchor>
            </w:drawing>
          </mc:Choice>
          <mc:Fallback>
            <w:pict>
              <v:shape id="_x0000_s1029" type="#_x0000_t202" style="position:absolute;margin-left:465.60000000000002pt;margin-top:1.pt;width:69.850000000000009pt;height:17.050000000000001pt;z-index:-125829373;mso-wrap-distance-left:0;mso-wrap-distance-right:0;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rStyle w:val="CharStyle7"/>
                        </w:rPr>
                        <w:t xml:space="preserve">ISK</w:t>
                      </w:r>
                      <w:r>
                        <w:rPr>
                          <w:rStyle w:val="CharStyle7"/>
                        </w:rPr>
                        <w:t xml:space="preserve"> </w:t>
                      </w:r>
                      <w:r>
                        <w:rPr>
                          <w:rStyle w:val="CharStyle7"/>
                        </w:rPr>
                        <w:t xml:space="preserve">35,000</w:t>
                      </w:r>
                    </w:p>
                  </w:txbxContent>
                </v:textbox>
                <w10:wrap type="square" anchorx="page"/>
              </v:shape>
            </w:pict>
          </mc:Fallback>
        </mc:AlternateContent>
      </w:r>
      <w:r>
        <w:rPr>
          <w:rStyle w:val="BodyTextChar"/>
        </w:rPr>
        <w:t>a) Administration fee paid by the tenant for completing the rental contract</w:t>
      </w:r>
    </w:p>
    <w:p w14:paraId="7BDFB0DA" w14:textId="77777777" w:rsidR="0090194C" w:rsidRDefault="00000000">
      <w:pPr>
        <w:pStyle w:val="Tablecaption0"/>
      </w:pPr>
      <w:r>
        <w:rPr>
          <w:rStyle w:val="Tablecaption"/>
          <w:b/>
          <w:bCs/>
        </w:rPr>
        <w:t>C. MEMBERSHIP FEES</w:t>
      </w:r>
    </w:p>
    <w:tbl>
      <w:tblPr>
        <w:tblOverlap w:val="never"/>
        <w:tblW w:w="0" w:type="auto"/>
        <w:tblLayout w:type="fixed"/>
        <w:tblCellMar>
          <w:left w:w="10" w:type="dxa"/>
          <w:right w:w="10" w:type="dxa"/>
        </w:tblCellMar>
        <w:tblLook w:val="0000" w:firstRow="0" w:lastRow="0" w:firstColumn="0" w:lastColumn="0" w:noHBand="0" w:noVBand="0"/>
      </w:tblPr>
      <w:tblGrid>
        <w:gridCol w:w="6024"/>
        <w:gridCol w:w="1738"/>
        <w:gridCol w:w="994"/>
      </w:tblGrid>
      <w:tr w:rsidR="0090194C" w14:paraId="5EC5D18B" w14:textId="77777777">
        <w:tblPrEx>
          <w:tblCellMar>
            <w:top w:w="0" w:type="dxa"/>
            <w:bottom w:w="0" w:type="dxa"/>
          </w:tblCellMar>
        </w:tblPrEx>
        <w:trPr>
          <w:trHeight w:hRule="exact" w:val="326"/>
        </w:trPr>
        <w:tc>
          <w:tcPr>
            <w:tcW w:w="6024" w:type="dxa"/>
            <w:shd w:val="clear" w:color="auto" w:fill="auto"/>
          </w:tcPr>
          <w:p w14:paraId="4F90A271" w14:textId="77777777" w:rsidR="0090194C" w:rsidRDefault="00000000" w:rsidP="00ED390D">
            <w:pPr>
              <w:pStyle w:val="Other0"/>
              <w:spacing w:after="0" w:line="240" w:lineRule="auto"/>
              <w:ind w:firstLine="554"/>
            </w:pPr>
            <w:r>
              <w:rPr>
                <w:rStyle w:val="Other"/>
              </w:rPr>
              <w:t>a) Admission fee</w:t>
            </w:r>
          </w:p>
        </w:tc>
        <w:tc>
          <w:tcPr>
            <w:tcW w:w="1738" w:type="dxa"/>
            <w:shd w:val="clear" w:color="auto" w:fill="auto"/>
          </w:tcPr>
          <w:p w14:paraId="7AB49DA4" w14:textId="77777777" w:rsidR="0090194C" w:rsidRDefault="00000000">
            <w:pPr>
              <w:pStyle w:val="Other0"/>
              <w:spacing w:after="0" w:line="240" w:lineRule="auto"/>
              <w:ind w:left="1220"/>
            </w:pPr>
            <w:r>
              <w:rPr>
                <w:rStyle w:val="Other"/>
              </w:rPr>
              <w:t>ISK</w:t>
            </w:r>
          </w:p>
        </w:tc>
        <w:tc>
          <w:tcPr>
            <w:tcW w:w="994" w:type="dxa"/>
            <w:shd w:val="clear" w:color="auto" w:fill="auto"/>
          </w:tcPr>
          <w:p w14:paraId="7E109F8D" w14:textId="77777777" w:rsidR="0090194C" w:rsidRDefault="00000000">
            <w:pPr>
              <w:pStyle w:val="Other0"/>
              <w:spacing w:after="0" w:line="240" w:lineRule="auto"/>
              <w:ind w:firstLine="220"/>
            </w:pPr>
            <w:r>
              <w:rPr>
                <w:rStyle w:val="Other"/>
              </w:rPr>
              <w:t>5,500</w:t>
            </w:r>
          </w:p>
        </w:tc>
      </w:tr>
      <w:tr w:rsidR="0090194C" w14:paraId="17E3F5E8" w14:textId="77777777">
        <w:tblPrEx>
          <w:tblCellMar>
            <w:top w:w="0" w:type="dxa"/>
            <w:bottom w:w="0" w:type="dxa"/>
          </w:tblCellMar>
        </w:tblPrEx>
        <w:trPr>
          <w:trHeight w:hRule="exact" w:val="346"/>
        </w:trPr>
        <w:tc>
          <w:tcPr>
            <w:tcW w:w="6024" w:type="dxa"/>
            <w:shd w:val="clear" w:color="auto" w:fill="auto"/>
          </w:tcPr>
          <w:p w14:paraId="66049BEF" w14:textId="77777777" w:rsidR="0090194C" w:rsidRDefault="00000000" w:rsidP="00ED390D">
            <w:pPr>
              <w:pStyle w:val="Other0"/>
              <w:spacing w:after="0" w:line="240" w:lineRule="auto"/>
              <w:ind w:firstLine="554"/>
            </w:pPr>
            <w:r>
              <w:rPr>
                <w:rStyle w:val="Other"/>
              </w:rPr>
              <w:t>b) Membership fee for an individual</w:t>
            </w:r>
          </w:p>
        </w:tc>
        <w:tc>
          <w:tcPr>
            <w:tcW w:w="1738" w:type="dxa"/>
            <w:shd w:val="clear" w:color="auto" w:fill="auto"/>
          </w:tcPr>
          <w:p w14:paraId="59DF02E1" w14:textId="77777777" w:rsidR="0090194C" w:rsidRDefault="00000000">
            <w:pPr>
              <w:pStyle w:val="Other0"/>
              <w:spacing w:after="0" w:line="240" w:lineRule="auto"/>
              <w:ind w:left="1220"/>
            </w:pPr>
            <w:r>
              <w:rPr>
                <w:rStyle w:val="Other"/>
              </w:rPr>
              <w:t>ISK</w:t>
            </w:r>
          </w:p>
        </w:tc>
        <w:tc>
          <w:tcPr>
            <w:tcW w:w="994" w:type="dxa"/>
            <w:shd w:val="clear" w:color="auto" w:fill="auto"/>
          </w:tcPr>
          <w:p w14:paraId="5B7E5085" w14:textId="77777777" w:rsidR="0090194C" w:rsidRDefault="00000000">
            <w:pPr>
              <w:pStyle w:val="Other0"/>
              <w:spacing w:after="0" w:line="240" w:lineRule="auto"/>
              <w:ind w:firstLine="220"/>
            </w:pPr>
            <w:r>
              <w:rPr>
                <w:rStyle w:val="Other"/>
              </w:rPr>
              <w:t>3,000</w:t>
            </w:r>
          </w:p>
        </w:tc>
      </w:tr>
      <w:tr w:rsidR="0090194C" w14:paraId="6DBDDCD8" w14:textId="77777777">
        <w:tblPrEx>
          <w:tblCellMar>
            <w:top w:w="0" w:type="dxa"/>
            <w:bottom w:w="0" w:type="dxa"/>
          </w:tblCellMar>
        </w:tblPrEx>
        <w:trPr>
          <w:trHeight w:hRule="exact" w:val="379"/>
        </w:trPr>
        <w:tc>
          <w:tcPr>
            <w:tcW w:w="6024" w:type="dxa"/>
            <w:tcBorders>
              <w:bottom w:val="single" w:sz="4" w:space="0" w:color="auto"/>
            </w:tcBorders>
            <w:shd w:val="clear" w:color="auto" w:fill="auto"/>
          </w:tcPr>
          <w:p w14:paraId="1F5D74DD" w14:textId="77777777" w:rsidR="0090194C" w:rsidRDefault="00000000" w:rsidP="00ED390D">
            <w:pPr>
              <w:pStyle w:val="Other0"/>
              <w:spacing w:after="0" w:line="240" w:lineRule="auto"/>
              <w:ind w:firstLine="554"/>
            </w:pPr>
            <w:r>
              <w:rPr>
                <w:rStyle w:val="Other"/>
              </w:rPr>
              <w:t>c) Membership fee for married and co-habiting couples</w:t>
            </w:r>
          </w:p>
        </w:tc>
        <w:tc>
          <w:tcPr>
            <w:tcW w:w="1738" w:type="dxa"/>
            <w:tcBorders>
              <w:bottom w:val="single" w:sz="4" w:space="0" w:color="auto"/>
            </w:tcBorders>
            <w:shd w:val="clear" w:color="auto" w:fill="auto"/>
          </w:tcPr>
          <w:p w14:paraId="5F5902DF" w14:textId="77777777" w:rsidR="0090194C" w:rsidRDefault="00000000">
            <w:pPr>
              <w:pStyle w:val="Other0"/>
              <w:spacing w:after="0" w:line="240" w:lineRule="auto"/>
              <w:ind w:left="1220"/>
            </w:pPr>
            <w:r>
              <w:rPr>
                <w:rStyle w:val="Other"/>
              </w:rPr>
              <w:t>ISK</w:t>
            </w:r>
          </w:p>
        </w:tc>
        <w:tc>
          <w:tcPr>
            <w:tcW w:w="994" w:type="dxa"/>
            <w:tcBorders>
              <w:bottom w:val="single" w:sz="4" w:space="0" w:color="auto"/>
            </w:tcBorders>
            <w:shd w:val="clear" w:color="auto" w:fill="auto"/>
          </w:tcPr>
          <w:p w14:paraId="74D014E0" w14:textId="77777777" w:rsidR="0090194C" w:rsidRDefault="00000000">
            <w:pPr>
              <w:pStyle w:val="Other0"/>
              <w:spacing w:after="0" w:line="240" w:lineRule="auto"/>
              <w:ind w:firstLine="220"/>
            </w:pPr>
            <w:r>
              <w:rPr>
                <w:rStyle w:val="Other"/>
              </w:rPr>
              <w:t>4,500</w:t>
            </w:r>
          </w:p>
        </w:tc>
      </w:tr>
    </w:tbl>
    <w:p w14:paraId="27CE33E5" w14:textId="77777777" w:rsidR="0090194C" w:rsidRDefault="0090194C">
      <w:pPr>
        <w:spacing w:after="659" w:line="1" w:lineRule="exact"/>
      </w:pPr>
    </w:p>
    <w:p w14:paraId="2CA9A18C" w14:textId="77777777" w:rsidR="0090194C" w:rsidRDefault="00000000">
      <w:pPr>
        <w:pStyle w:val="BodyText"/>
        <w:spacing w:line="262" w:lineRule="auto"/>
        <w:ind w:left="720"/>
      </w:pPr>
      <w:r>
        <w:rPr>
          <w:rStyle w:val="BodyTextChar"/>
          <w:u w:val="single"/>
        </w:rPr>
        <w:t>Payments provided for in this tariff shall be deposited to Búmenn’s account no. 0101-26-6002, ID No. 660499-2299.</w:t>
      </w:r>
    </w:p>
    <w:sectPr w:rsidR="0090194C" w:rsidSect="00ED390D">
      <w:footnotePr>
        <w:numFmt w:val="upperRoman"/>
      </w:footnotePr>
      <w:pgSz w:w="12240" w:h="15840"/>
      <w:pgMar w:top="1134" w:right="3309" w:bottom="1134" w:left="1397" w:header="2006" w:footer="1014" w:gutter="0"/>
      <w:pgNumType w:start="1"/>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DD69A" w14:textId="77777777" w:rsidR="006C0419" w:rsidRDefault="006C0419">
      <w:r>
        <w:separator/>
      </w:r>
    </w:p>
  </w:endnote>
  <w:endnote w:type="continuationSeparator" w:id="0">
    <w:p w14:paraId="03C98E33" w14:textId="77777777" w:rsidR="006C0419" w:rsidRDefault="006C0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8FA9F" w14:textId="77777777" w:rsidR="006C0419" w:rsidRDefault="006C0419">
      <w:r>
        <w:separator/>
      </w:r>
    </w:p>
  </w:footnote>
  <w:footnote w:type="continuationSeparator" w:id="0">
    <w:p w14:paraId="4F8E161F" w14:textId="77777777" w:rsidR="006C0419" w:rsidRDefault="006C0419">
      <w:r>
        <w:continuationSeparator/>
      </w:r>
    </w:p>
  </w:footnote>
  <w:footnote w:id="1">
    <w:p w14:paraId="106E3AAF" w14:textId="77777777" w:rsidR="0090194C" w:rsidRDefault="00000000">
      <w:pPr>
        <w:pStyle w:val="Footnote0"/>
      </w:pPr>
      <w:r>
        <w:rPr>
          <w:rStyle w:val="Footnote"/>
          <w:vertAlign w:val="superscript"/>
        </w:rPr>
        <w:footnoteRef/>
      </w:r>
      <w:r>
        <w:rPr>
          <w:rStyle w:val="Footnote"/>
        </w:rPr>
        <w:t xml:space="preserve"> The listing fee paid by the seller of the residence right as referred to in a) is allocated to pay part of the sales fee as provided for in Búmenn's current Terms and Conditions of Sale.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B156B"/>
    <w:multiLevelType w:val="multilevel"/>
    <w:tmpl w:val="C85C27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is-IS" w:eastAsia="is-IS" w:bidi="is-I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364278"/>
    <w:multiLevelType w:val="multilevel"/>
    <w:tmpl w:val="6F7EA34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is-IS" w:eastAsia="is-IS" w:bidi="is-I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5E139CE"/>
    <w:multiLevelType w:val="multilevel"/>
    <w:tmpl w:val="AB22AB8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is-IS" w:eastAsia="is-IS" w:bidi="is-I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20786054">
    <w:abstractNumId w:val="1"/>
  </w:num>
  <w:num w:numId="2" w16cid:durableId="1701859919">
    <w:abstractNumId w:val="0"/>
  </w:num>
  <w:num w:numId="3" w16cid:durableId="11970449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drawingGridHorizontalSpacing w:val="181"/>
  <w:drawingGridVerticalSpacing w:val="181"/>
  <w:characterSpacingControl w:val="compressPunctuation"/>
  <w:footnotePr>
    <w:numFmt w:val="upperRoman"/>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94C"/>
    <w:rsid w:val="004671BD"/>
    <w:rsid w:val="006C0419"/>
    <w:rsid w:val="0090194C"/>
    <w:rsid w:val="00ED390D"/>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5F00B"/>
  <w15:docId w15:val="{6C5832AD-A161-4FEA-A21B-C923F506B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en-GB" w:eastAsia="is-IS" w:bidi="is-I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rPr>
      <w:rFonts w:ascii="Calibri" w:eastAsia="Calibri" w:hAnsi="Calibri" w:cs="Calibri"/>
      <w:b w:val="0"/>
      <w:bCs w:val="0"/>
      <w:i w:val="0"/>
      <w:iCs w:val="0"/>
      <w:smallCaps w:val="0"/>
      <w:strike w:val="0"/>
      <w:sz w:val="20"/>
      <w:szCs w:val="20"/>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8"/>
      <w:szCs w:val="28"/>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40"/>
      <w:szCs w:val="40"/>
      <w:u w:val="none"/>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28"/>
      <w:szCs w:val="28"/>
      <w:u w:val="none"/>
    </w:rPr>
  </w:style>
  <w:style w:type="character" w:customStyle="1" w:styleId="Tablecaption">
    <w:name w:val="Table caption_"/>
    <w:basedOn w:val="DefaultParagraphFont"/>
    <w:link w:val="Tablecaption0"/>
    <w:rPr>
      <w:rFonts w:ascii="Times New Roman" w:eastAsia="Times New Roman" w:hAnsi="Times New Roman" w:cs="Times New Roman"/>
      <w:b/>
      <w:bCs/>
      <w:i w:val="0"/>
      <w:iCs w:val="0"/>
      <w:smallCaps w:val="0"/>
      <w:strike w:val="0"/>
      <w:sz w:val="28"/>
      <w:szCs w:val="28"/>
      <w:u w:val="none"/>
    </w:rPr>
  </w:style>
  <w:style w:type="paragraph" w:customStyle="1" w:styleId="Footnote0">
    <w:name w:val="Footnote"/>
    <w:basedOn w:val="Normal"/>
    <w:link w:val="Footnote"/>
    <w:rPr>
      <w:rFonts w:ascii="Calibri" w:eastAsia="Calibri" w:hAnsi="Calibri" w:cs="Calibri"/>
      <w:sz w:val="20"/>
      <w:szCs w:val="20"/>
    </w:rPr>
  </w:style>
  <w:style w:type="paragraph" w:customStyle="1" w:styleId="Other0">
    <w:name w:val="Other"/>
    <w:basedOn w:val="Normal"/>
    <w:link w:val="Other"/>
    <w:pPr>
      <w:spacing w:after="360" w:line="257" w:lineRule="auto"/>
    </w:pPr>
    <w:rPr>
      <w:rFonts w:ascii="Times New Roman" w:eastAsia="Times New Roman" w:hAnsi="Times New Roman" w:cs="Times New Roman"/>
      <w:sz w:val="28"/>
      <w:szCs w:val="28"/>
    </w:rPr>
  </w:style>
  <w:style w:type="paragraph" w:styleId="BodyText">
    <w:name w:val="Body Text"/>
    <w:basedOn w:val="Normal"/>
    <w:link w:val="BodyTextChar"/>
    <w:qFormat/>
    <w:pPr>
      <w:spacing w:after="360" w:line="257" w:lineRule="auto"/>
    </w:pPr>
    <w:rPr>
      <w:rFonts w:ascii="Times New Roman" w:eastAsia="Times New Roman" w:hAnsi="Times New Roman" w:cs="Times New Roman"/>
      <w:sz w:val="28"/>
      <w:szCs w:val="28"/>
    </w:rPr>
  </w:style>
  <w:style w:type="paragraph" w:customStyle="1" w:styleId="Heading10">
    <w:name w:val="Heading #1"/>
    <w:basedOn w:val="Normal"/>
    <w:link w:val="Heading1"/>
    <w:pPr>
      <w:spacing w:after="740"/>
      <w:jc w:val="center"/>
      <w:outlineLvl w:val="0"/>
    </w:pPr>
    <w:rPr>
      <w:rFonts w:ascii="Times New Roman" w:eastAsia="Times New Roman" w:hAnsi="Times New Roman" w:cs="Times New Roman"/>
      <w:b/>
      <w:bCs/>
      <w:sz w:val="40"/>
      <w:szCs w:val="40"/>
    </w:rPr>
  </w:style>
  <w:style w:type="paragraph" w:customStyle="1" w:styleId="Heading20">
    <w:name w:val="Heading #2"/>
    <w:basedOn w:val="Normal"/>
    <w:link w:val="Heading2"/>
    <w:pPr>
      <w:spacing w:after="180" w:line="247" w:lineRule="auto"/>
      <w:ind w:firstLine="360"/>
      <w:outlineLvl w:val="1"/>
    </w:pPr>
    <w:rPr>
      <w:rFonts w:ascii="Times New Roman" w:eastAsia="Times New Roman" w:hAnsi="Times New Roman" w:cs="Times New Roman"/>
      <w:b/>
      <w:bCs/>
      <w:sz w:val="28"/>
      <w:szCs w:val="28"/>
    </w:rPr>
  </w:style>
  <w:style w:type="paragraph" w:customStyle="1" w:styleId="Tablecaption0">
    <w:name w:val="Table caption"/>
    <w:basedOn w:val="Normal"/>
    <w:link w:val="Tablecaption"/>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Keneva Kunz</cp:lastModifiedBy>
  <cp:revision>2</cp:revision>
  <dcterms:created xsi:type="dcterms:W3CDTF">2025-06-01T10:49:00Z</dcterms:created>
  <dcterms:modified xsi:type="dcterms:W3CDTF">2025-06-01T10:55:00Z</dcterms:modified>
</cp:coreProperties>
</file>