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46AD0" w14:textId="77777777" w:rsidR="00766F7F" w:rsidRDefault="00000000">
      <w:pPr>
        <w:pStyle w:val="Heading10"/>
        <w:keepNext/>
        <w:keepLines/>
      </w:pPr>
      <w:bookmarkStart w:id="0" w:name="bookmark0"/>
      <w:r>
        <w:rPr>
          <w:rStyle w:val="Heading1"/>
        </w:rPr>
        <w:t>Offer to Purchase a Residence Right</w:t>
      </w:r>
      <w:bookmarkEnd w:id="0"/>
    </w:p>
    <w:p w14:paraId="24324CCF" w14:textId="77777777" w:rsidR="00766F7F" w:rsidRDefault="00000000">
      <w:pPr>
        <w:pStyle w:val="Heading20"/>
        <w:keepNext/>
        <w:keepLines/>
        <w:numPr>
          <w:ilvl w:val="0"/>
          <w:numId w:val="1"/>
        </w:numPr>
        <w:tabs>
          <w:tab w:val="left" w:pos="421"/>
        </w:tabs>
      </w:pPr>
      <w:bookmarkStart w:id="1" w:name="bookmark2"/>
      <w:r>
        <w:rPr>
          <w:rStyle w:val="Heading2"/>
          <w:b/>
          <w:bCs/>
        </w:rPr>
        <w:t>Residence apartment:</w:t>
      </w:r>
      <w:bookmarkEnd w:id="1"/>
    </w:p>
    <w:p w14:paraId="38B97139" w14:textId="77777777" w:rsidR="00766F7F" w:rsidRDefault="00000000">
      <w:pPr>
        <w:pStyle w:val="BodyText"/>
      </w:pPr>
      <w:r>
        <w:rPr>
          <w:rStyle w:val="BodyTextChar"/>
        </w:rPr>
        <w:t>Address:</w:t>
      </w:r>
    </w:p>
    <w:p w14:paraId="3D39713F" w14:textId="77777777" w:rsidR="00766F7F" w:rsidRDefault="00000000">
      <w:pPr>
        <w:pStyle w:val="BodyText"/>
      </w:pPr>
      <w:r>
        <w:rPr>
          <w:rStyle w:val="BodyTextChar"/>
        </w:rPr>
        <w:t>Cadastral no.:</w:t>
      </w:r>
    </w:p>
    <w:p w14:paraId="5FBA5A0C" w14:textId="77777777" w:rsidR="00766F7F" w:rsidRDefault="00000000">
      <w:pPr>
        <w:pStyle w:val="BodyText"/>
      </w:pPr>
      <w:r>
        <w:rPr>
          <w:rStyle w:val="BodyTextChar"/>
        </w:rPr>
        <w:t>Municipality:</w:t>
      </w:r>
    </w:p>
    <w:p w14:paraId="0B1D683D" w14:textId="467A1E92" w:rsidR="00766F7F" w:rsidRDefault="00000000">
      <w:pPr>
        <w:pStyle w:val="BodyText"/>
        <w:spacing w:after="460"/>
      </w:pPr>
      <w:r>
        <w:rPr>
          <w:rStyle w:val="BodyTextChar"/>
        </w:rPr>
        <w:t>oooooooooooooooooooooooooooooooooooooooooooooooooooooooooooooooooooooooooooooooooooooooo</w:t>
      </w:r>
    </w:p>
    <w:p w14:paraId="02349287" w14:textId="77777777" w:rsidR="00766F7F" w:rsidRDefault="00000000">
      <w:pPr>
        <w:pStyle w:val="Heading20"/>
        <w:keepNext/>
        <w:keepLines/>
        <w:numPr>
          <w:ilvl w:val="0"/>
          <w:numId w:val="1"/>
        </w:numPr>
        <w:tabs>
          <w:tab w:val="left" w:pos="392"/>
        </w:tabs>
      </w:pPr>
      <w:bookmarkStart w:id="2" w:name="bookmark4"/>
      <w:r>
        <w:rPr>
          <w:rStyle w:val="Heading2"/>
          <w:b/>
          <w:bCs/>
        </w:rPr>
        <w:t>Offeror(s):</w:t>
      </w:r>
      <w:bookmarkEnd w:id="2"/>
    </w:p>
    <w:p w14:paraId="35E5F885" w14:textId="77777777" w:rsidR="00766F7F" w:rsidRDefault="00000000">
      <w:pPr>
        <w:pStyle w:val="BodyText"/>
      </w:pPr>
      <w:r>
        <w:rPr>
          <w:rStyle w:val="BodyTextChar"/>
        </w:rPr>
        <w:t>Name: ID No.:</w:t>
      </w:r>
    </w:p>
    <w:p w14:paraId="527BD7FD" w14:textId="77777777" w:rsidR="00766F7F" w:rsidRDefault="00000000">
      <w:pPr>
        <w:pStyle w:val="BodyText"/>
      </w:pPr>
      <w:r>
        <w:rPr>
          <w:rStyle w:val="BodyTextChar"/>
        </w:rPr>
        <w:t>Membership number: E-mail: Phone number:</w:t>
      </w:r>
    </w:p>
    <w:p w14:paraId="7419F54D" w14:textId="77777777" w:rsidR="00766F7F" w:rsidRDefault="00000000">
      <w:pPr>
        <w:pStyle w:val="BodyText"/>
      </w:pPr>
      <w:r>
        <w:rPr>
          <w:rStyle w:val="BodyTextChar"/>
        </w:rPr>
        <w:t>Name: ID No.:</w:t>
      </w:r>
    </w:p>
    <w:p w14:paraId="22E4767F" w14:textId="77777777" w:rsidR="00766F7F" w:rsidRDefault="00000000">
      <w:pPr>
        <w:pStyle w:val="BodyText"/>
      </w:pPr>
      <w:r>
        <w:rPr>
          <w:rStyle w:val="BodyTextChar"/>
        </w:rPr>
        <w:t>Membership number: E-mail: Phone number:</w:t>
      </w:r>
    </w:p>
    <w:p w14:paraId="31A2B2CA" w14:textId="265FA921" w:rsidR="00766F7F" w:rsidRDefault="00000000">
      <w:pPr>
        <w:pStyle w:val="BodyText"/>
        <w:spacing w:after="460"/>
      </w:pPr>
      <w:r>
        <w:rPr>
          <w:rStyle w:val="BodyTextChar"/>
        </w:rPr>
        <w:t>ooooooooooooooooooooooooooooooooooooooooooooooooooooooooooooooooooooooooooooooooooooooo</w:t>
      </w:r>
    </w:p>
    <w:p w14:paraId="49B1C241" w14:textId="77777777" w:rsidR="00766F7F" w:rsidRDefault="00000000">
      <w:pPr>
        <w:pStyle w:val="Heading20"/>
        <w:keepNext/>
        <w:keepLines/>
        <w:numPr>
          <w:ilvl w:val="0"/>
          <w:numId w:val="1"/>
        </w:numPr>
        <w:tabs>
          <w:tab w:val="left" w:pos="402"/>
        </w:tabs>
      </w:pPr>
      <w:bookmarkStart w:id="3" w:name="bookmark6"/>
      <w:r>
        <w:rPr>
          <w:rStyle w:val="Heading2"/>
          <w:b/>
          <w:bCs/>
        </w:rPr>
        <w:t>Offer for a residence right</w:t>
      </w:r>
      <w:bookmarkEnd w:id="3"/>
    </w:p>
    <w:p w14:paraId="43760D68" w14:textId="77777777" w:rsidR="00766F7F" w:rsidRDefault="00000000">
      <w:pPr>
        <w:pStyle w:val="BodyText"/>
      </w:pPr>
      <w:r>
        <w:rPr>
          <w:rStyle w:val="BodyTextChar"/>
        </w:rPr>
        <w:t>Amount ISK</w:t>
      </w:r>
    </w:p>
    <w:p w14:paraId="22ED27CC" w14:textId="77777777" w:rsidR="00766F7F" w:rsidRDefault="00000000">
      <w:pPr>
        <w:pStyle w:val="BodyText"/>
      </w:pPr>
      <w:r>
        <w:rPr>
          <w:rStyle w:val="BodyTextChar"/>
        </w:rPr>
        <w:t>Unconditional</w:t>
      </w:r>
    </w:p>
    <w:p w14:paraId="7F1C8EDA" w14:textId="77777777" w:rsidR="00766F7F" w:rsidRDefault="00000000">
      <w:pPr>
        <w:pStyle w:val="BodyText"/>
      </w:pPr>
      <w:r>
        <w:rPr>
          <w:rStyle w:val="BodyTextChar"/>
        </w:rPr>
        <w:t>Conditional</w:t>
      </w:r>
    </w:p>
    <w:p w14:paraId="05A147EC" w14:textId="77777777" w:rsidR="00766F7F" w:rsidRDefault="00000000">
      <w:pPr>
        <w:pStyle w:val="Heading20"/>
        <w:keepNext/>
        <w:keepLines/>
        <w:numPr>
          <w:ilvl w:val="0"/>
          <w:numId w:val="1"/>
        </w:numPr>
        <w:tabs>
          <w:tab w:val="left" w:pos="402"/>
        </w:tabs>
      </w:pPr>
      <w:bookmarkStart w:id="4" w:name="bookmark8"/>
      <w:r>
        <w:rPr>
          <w:rStyle w:val="Heading2"/>
          <w:b/>
          <w:bCs/>
        </w:rPr>
        <w:t>Terms:</w:t>
      </w:r>
      <w:bookmarkEnd w:id="4"/>
    </w:p>
    <w:p w14:paraId="1750CCA1" w14:textId="77777777" w:rsidR="00766F7F" w:rsidRDefault="00000000">
      <w:pPr>
        <w:pStyle w:val="BodyText"/>
        <w:spacing w:line="341" w:lineRule="auto"/>
      </w:pPr>
      <w:r>
        <w:rPr>
          <w:rStyle w:val="BodyTextChar"/>
        </w:rPr>
        <w:t>The undersigned offeror confirms having read Búmenn’s current Terms and Conditions of Sale and that they apply to this offer and its handling. This implies, among other things:</w:t>
      </w:r>
    </w:p>
    <w:p w14:paraId="11C6F031" w14:textId="77777777" w:rsidR="00766F7F" w:rsidRDefault="00000000">
      <w:pPr>
        <w:pStyle w:val="BodyText"/>
        <w:numPr>
          <w:ilvl w:val="0"/>
          <w:numId w:val="2"/>
        </w:numPr>
        <w:tabs>
          <w:tab w:val="left" w:pos="567"/>
        </w:tabs>
        <w:spacing w:after="0"/>
        <w:ind w:left="500" w:hanging="300"/>
      </w:pPr>
      <w:r>
        <w:rPr>
          <w:rStyle w:val="BodyTextChar"/>
        </w:rPr>
        <w:t>The undersigned offeror hereby makes a binding purchase offer for the residence right of the above-mentioned residence apartment.</w:t>
      </w:r>
    </w:p>
    <w:p w14:paraId="17F94804" w14:textId="77777777" w:rsidR="00766F7F" w:rsidRDefault="00000000">
      <w:pPr>
        <w:pStyle w:val="BodyText"/>
        <w:numPr>
          <w:ilvl w:val="0"/>
          <w:numId w:val="2"/>
        </w:numPr>
        <w:tabs>
          <w:tab w:val="left" w:pos="567"/>
        </w:tabs>
        <w:spacing w:after="0"/>
        <w:ind w:left="500" w:hanging="300"/>
      </w:pPr>
      <w:r>
        <w:rPr>
          <w:rStyle w:val="BodyTextChar"/>
        </w:rPr>
        <w:t>The offeror shall be bound by their binding offer for six weeks from the date of receipt of this offer at Búmenn’s office.</w:t>
      </w:r>
    </w:p>
    <w:p w14:paraId="514C8E7B" w14:textId="77777777" w:rsidR="00766F7F" w:rsidRDefault="00000000">
      <w:pPr>
        <w:pStyle w:val="BodyText"/>
        <w:numPr>
          <w:ilvl w:val="0"/>
          <w:numId w:val="2"/>
        </w:numPr>
        <w:tabs>
          <w:tab w:val="left" w:pos="501"/>
        </w:tabs>
        <w:spacing w:after="0"/>
        <w:ind w:firstLine="200"/>
      </w:pPr>
      <w:r>
        <w:rPr>
          <w:rStyle w:val="BodyTextChar"/>
        </w:rPr>
        <w:t>A conditional offer is not considered a binding offer.</w:t>
      </w:r>
    </w:p>
    <w:p w14:paraId="0102D409" w14:textId="7EFAB68A" w:rsidR="00766F7F" w:rsidRDefault="00000000">
      <w:pPr>
        <w:pStyle w:val="BodyText"/>
        <w:numPr>
          <w:ilvl w:val="0"/>
          <w:numId w:val="2"/>
        </w:numPr>
        <w:tabs>
          <w:tab w:val="left" w:pos="567"/>
        </w:tabs>
        <w:spacing w:after="0"/>
        <w:ind w:left="500" w:hanging="300"/>
      </w:pPr>
      <w:r>
        <w:rPr>
          <w:rStyle w:val="BodyTextChar"/>
        </w:rPr>
        <w:t>If an offer is accepted, the offeror is obliged to pay a confirmation fee of 10% of the purchase price of the residence right within five working days after Búmenn has notified them that the offer has been accepted. At the same time, the offeror shall pay Búmenn an administration fee as prescribed in Búmenn's tariff, currently ISK 80,000. A residence contract shall be signed and the remaining purchase price of the residence right paid no later than the agreed delivery date of the residence apartment. These payments shall be deposited to Búmenn’s bank account no. 101-26-6002, ID No</w:t>
      </w:r>
      <w:r w:rsidRPr="00FE6325">
        <w:rPr>
          <w:rStyle w:val="BodyTextChar"/>
        </w:rPr>
        <w:t>.</w:t>
      </w:r>
      <w:r w:rsidR="00FE6325">
        <w:rPr>
          <w:rStyle w:val="BodyTextChar"/>
        </w:rPr>
        <w:t xml:space="preserve"> </w:t>
      </w:r>
      <w:r w:rsidRPr="00FE6325">
        <w:rPr>
          <w:rStyle w:val="BodyTextChar"/>
        </w:rPr>
        <w:t>660499-2299.</w:t>
      </w:r>
    </w:p>
    <w:p w14:paraId="648D1E75" w14:textId="77777777" w:rsidR="00766F7F" w:rsidRDefault="00000000">
      <w:pPr>
        <w:pStyle w:val="BodyText"/>
        <w:numPr>
          <w:ilvl w:val="0"/>
          <w:numId w:val="2"/>
        </w:numPr>
        <w:tabs>
          <w:tab w:val="left" w:pos="517"/>
        </w:tabs>
        <w:spacing w:after="0"/>
        <w:ind w:left="500" w:hanging="300"/>
      </w:pPr>
      <w:r>
        <w:rPr>
          <w:rStyle w:val="BodyTextChar"/>
        </w:rPr>
        <w:lastRenderedPageBreak/>
        <w:t>The offeror has reviewed the inspection of the apartment’s condition by Búmenn and the residence apartment shall be delivered in the condition it was at the time of the offeror's inspection.</w:t>
      </w:r>
    </w:p>
    <w:p w14:paraId="14D64965" w14:textId="77777777" w:rsidR="00766F7F" w:rsidRDefault="00000000">
      <w:pPr>
        <w:pStyle w:val="BodyText"/>
        <w:numPr>
          <w:ilvl w:val="0"/>
          <w:numId w:val="2"/>
        </w:numPr>
        <w:tabs>
          <w:tab w:val="left" w:pos="517"/>
        </w:tabs>
        <w:spacing w:after="0"/>
        <w:ind w:left="500" w:hanging="300"/>
      </w:pPr>
      <w:r>
        <w:rPr>
          <w:rStyle w:val="BodyTextChar"/>
        </w:rPr>
        <w:t>The delivery date is the date specified by the seller of the residence right in the sales request unless the seller and purchaser agree in writing on a different delivery time.</w:t>
      </w:r>
    </w:p>
    <w:p w14:paraId="7BCA734A" w14:textId="77777777" w:rsidR="00766F7F" w:rsidRDefault="00000000">
      <w:pPr>
        <w:pStyle w:val="BodyText"/>
        <w:numPr>
          <w:ilvl w:val="0"/>
          <w:numId w:val="2"/>
        </w:numPr>
        <w:tabs>
          <w:tab w:val="left" w:pos="517"/>
        </w:tabs>
        <w:ind w:left="500" w:hanging="300"/>
      </w:pPr>
      <w:r>
        <w:rPr>
          <w:rStyle w:val="BodyTextChar"/>
        </w:rPr>
        <w:t>Offers must be received at the office of Búmenn by 12:00 noon on the date advertised as the closing date for offers.</w:t>
      </w:r>
    </w:p>
    <w:p w14:paraId="20B5E8A7" w14:textId="77777777" w:rsidR="00766F7F" w:rsidRDefault="00000000">
      <w:pPr>
        <w:pStyle w:val="BodyText"/>
      </w:pPr>
      <w:r>
        <w:rPr>
          <w:rStyle w:val="BodyTextChar"/>
          <w:b/>
          <w:bCs/>
        </w:rPr>
        <w:t>Location and date:</w:t>
      </w:r>
      <w:r>
        <w:rPr>
          <w:rStyle w:val="BodyTextChar"/>
        </w:rPr>
        <w:t xml:space="preserve"> 27 May 2025</w:t>
      </w:r>
    </w:p>
    <w:p w14:paraId="7DAB116D" w14:textId="77777777" w:rsidR="00766F7F" w:rsidRDefault="00000000">
      <w:pPr>
        <w:pStyle w:val="BodyText"/>
      </w:pPr>
      <w:r>
        <w:rPr>
          <w:rStyle w:val="BodyTextChar"/>
          <w:b/>
          <w:bCs/>
        </w:rPr>
        <w:t>ID No. of offeror</w:t>
      </w:r>
    </w:p>
    <w:p w14:paraId="26C87CBC" w14:textId="77777777" w:rsidR="00766F7F" w:rsidRDefault="00000000">
      <w:pPr>
        <w:pStyle w:val="BodyText"/>
      </w:pPr>
      <w:r>
        <w:rPr>
          <w:rStyle w:val="BodyTextChar"/>
          <w:b/>
          <w:bCs/>
        </w:rPr>
        <w:t>Acceptance of offeree:</w:t>
      </w:r>
    </w:p>
    <w:p w14:paraId="7465EEC4" w14:textId="77777777" w:rsidR="00766F7F" w:rsidRDefault="00000000">
      <w:pPr>
        <w:pStyle w:val="BodyText"/>
        <w:tabs>
          <w:tab w:val="left" w:leader="underscore" w:pos="3514"/>
          <w:tab w:val="left" w:leader="underscore" w:pos="4819"/>
        </w:tabs>
      </w:pPr>
      <w:r>
        <w:rPr>
          <w:rStyle w:val="BodyTextChar"/>
          <w:b/>
          <w:bCs/>
        </w:rPr>
        <w:tab/>
        <w:t>ID No.</w:t>
      </w:r>
      <w:r>
        <w:rPr>
          <w:rStyle w:val="BodyTextChar"/>
          <w:b/>
          <w:bCs/>
        </w:rPr>
        <w:tab/>
      </w:r>
    </w:p>
    <w:p w14:paraId="1189FB25" w14:textId="6CC95CE9" w:rsidR="00FE6325" w:rsidRDefault="00FE6325">
      <w:pPr>
        <w:pStyle w:val="BodyText"/>
        <w:rPr>
          <w:rStyle w:val="BodyTextChar"/>
        </w:rPr>
      </w:pPr>
      <w:hyperlink r:id="rId7" w:history="1">
        <w:r w:rsidRPr="00FE6325">
          <w:rPr>
            <w:rStyle w:val="Hyperlink"/>
          </w:rPr>
          <w:t>Read the Terms and Conditions of Sale</w:t>
        </w:r>
      </w:hyperlink>
    </w:p>
    <w:p w14:paraId="7AA6651C" w14:textId="59B50B93" w:rsidR="00766F7F" w:rsidRDefault="00000000">
      <w:pPr>
        <w:pStyle w:val="BodyText"/>
      </w:pPr>
      <w:r>
        <w:rPr>
          <w:rStyle w:val="BodyTextChar"/>
        </w:rPr>
        <w:t>I have read and understood the Terms and Conditions of Sale of Búmenn hsf.</w:t>
      </w:r>
    </w:p>
    <w:p w14:paraId="5C81CE51" w14:textId="77777777" w:rsidR="00766F7F" w:rsidRDefault="00000000">
      <w:pPr>
        <w:pStyle w:val="BodyText"/>
      </w:pPr>
      <w:r>
        <w:rPr>
          <w:rStyle w:val="BodyTextChar"/>
        </w:rPr>
        <w:t>Full name</w:t>
      </w:r>
    </w:p>
    <w:p w14:paraId="7AD4F009" w14:textId="77777777" w:rsidR="00766F7F" w:rsidRDefault="00000000">
      <w:pPr>
        <w:pStyle w:val="BodyText"/>
      </w:pPr>
      <w:r>
        <w:rPr>
          <w:rStyle w:val="BodyTextChar"/>
        </w:rPr>
        <w:t>Your e-mail address</w:t>
      </w:r>
    </w:p>
    <w:sectPr w:rsidR="00766F7F">
      <w:pgSz w:w="11900" w:h="16840"/>
      <w:pgMar w:top="562" w:right="560" w:bottom="847" w:left="520" w:header="134" w:footer="419"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B6CCA" w14:textId="77777777" w:rsidR="007E00BB" w:rsidRDefault="007E00BB">
      <w:r>
        <w:separator/>
      </w:r>
    </w:p>
  </w:endnote>
  <w:endnote w:type="continuationSeparator" w:id="0">
    <w:p w14:paraId="1B02E068" w14:textId="77777777" w:rsidR="007E00BB" w:rsidRDefault="007E0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06201" w14:textId="77777777" w:rsidR="007E00BB" w:rsidRDefault="007E00BB"/>
  </w:footnote>
  <w:footnote w:type="continuationSeparator" w:id="0">
    <w:p w14:paraId="3922175D" w14:textId="77777777" w:rsidR="007E00BB" w:rsidRDefault="007E00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0384B"/>
    <w:multiLevelType w:val="multilevel"/>
    <w:tmpl w:val="B3B0FDF6"/>
    <w:lvl w:ilvl="0">
      <w:start w:val="1"/>
      <w:numFmt w:val="upperLetter"/>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is-IS" w:eastAsia="is-IS" w:bidi="is-I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1A54E19"/>
    <w:multiLevelType w:val="multilevel"/>
    <w:tmpl w:val="DBC0E68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is-IS" w:eastAsia="is-IS" w:bidi="is-I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90471779">
    <w:abstractNumId w:val="0"/>
  </w:num>
  <w:num w:numId="2" w16cid:durableId="636030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F7F"/>
    <w:rsid w:val="00766F7F"/>
    <w:rsid w:val="007E00BB"/>
    <w:rsid w:val="009F6FA1"/>
    <w:rsid w:val="00E86278"/>
    <w:rsid w:val="00FE6325"/>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146A9"/>
  <w15:docId w15:val="{2250AA99-9482-4135-A623-66C4FBF9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en-GB" w:eastAsia="is-IS" w:bidi="is-I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Arial" w:eastAsia="Arial" w:hAnsi="Arial" w:cs="Arial"/>
      <w:b w:val="0"/>
      <w:bCs w:val="0"/>
      <w:i w:val="0"/>
      <w:iCs w:val="0"/>
      <w:smallCaps w:val="0"/>
      <w:strike w:val="0"/>
      <w:sz w:val="44"/>
      <w:szCs w:val="44"/>
      <w:u w:val="none"/>
    </w:rPr>
  </w:style>
  <w:style w:type="character" w:customStyle="1" w:styleId="Heading2">
    <w:name w:val="Heading #2_"/>
    <w:basedOn w:val="DefaultParagraphFont"/>
    <w:link w:val="Heading20"/>
    <w:rPr>
      <w:rFonts w:ascii="Arial" w:eastAsia="Arial" w:hAnsi="Arial" w:cs="Arial"/>
      <w:b/>
      <w:bCs/>
      <w:i w:val="0"/>
      <w:iCs w:val="0"/>
      <w:smallCaps w:val="0"/>
      <w:strike w:val="0"/>
      <w:sz w:val="22"/>
      <w:szCs w:val="22"/>
      <w:u w:val="none"/>
    </w:rPr>
  </w:style>
  <w:style w:type="character" w:customStyle="1" w:styleId="BodyTextChar">
    <w:name w:val="Body Text Char"/>
    <w:basedOn w:val="DefaultParagraphFont"/>
    <w:link w:val="BodyText"/>
    <w:rPr>
      <w:rFonts w:ascii="Arial" w:eastAsia="Arial" w:hAnsi="Arial" w:cs="Arial"/>
      <w:b w:val="0"/>
      <w:bCs w:val="0"/>
      <w:i w:val="0"/>
      <w:iCs w:val="0"/>
      <w:smallCaps w:val="0"/>
      <w:strike w:val="0"/>
      <w:sz w:val="22"/>
      <w:szCs w:val="22"/>
      <w:u w:val="none"/>
    </w:rPr>
  </w:style>
  <w:style w:type="paragraph" w:customStyle="1" w:styleId="Heading10">
    <w:name w:val="Heading #1"/>
    <w:basedOn w:val="Normal"/>
    <w:link w:val="Heading1"/>
    <w:pPr>
      <w:spacing w:after="660"/>
      <w:outlineLvl w:val="0"/>
    </w:pPr>
    <w:rPr>
      <w:rFonts w:ascii="Arial" w:eastAsia="Arial" w:hAnsi="Arial" w:cs="Arial"/>
      <w:sz w:val="44"/>
      <w:szCs w:val="44"/>
    </w:rPr>
  </w:style>
  <w:style w:type="paragraph" w:customStyle="1" w:styleId="Heading20">
    <w:name w:val="Heading #2"/>
    <w:basedOn w:val="Normal"/>
    <w:link w:val="Heading2"/>
    <w:pPr>
      <w:spacing w:after="240" w:line="317" w:lineRule="auto"/>
      <w:outlineLvl w:val="1"/>
    </w:pPr>
    <w:rPr>
      <w:rFonts w:ascii="Arial" w:eastAsia="Arial" w:hAnsi="Arial" w:cs="Arial"/>
      <w:b/>
      <w:bCs/>
      <w:sz w:val="22"/>
      <w:szCs w:val="22"/>
    </w:rPr>
  </w:style>
  <w:style w:type="paragraph" w:styleId="BodyText">
    <w:name w:val="Body Text"/>
    <w:basedOn w:val="Normal"/>
    <w:link w:val="BodyTextChar"/>
    <w:qFormat/>
    <w:pPr>
      <w:spacing w:after="240" w:line="317" w:lineRule="auto"/>
    </w:pPr>
    <w:rPr>
      <w:rFonts w:ascii="Arial" w:eastAsia="Arial" w:hAnsi="Arial" w:cs="Arial"/>
      <w:sz w:val="22"/>
      <w:szCs w:val="22"/>
    </w:rPr>
  </w:style>
  <w:style w:type="character" w:styleId="Hyperlink">
    <w:name w:val="Hyperlink"/>
    <w:basedOn w:val="DefaultParagraphFont"/>
    <w:uiPriority w:val="99"/>
    <w:unhideWhenUsed/>
    <w:rsid w:val="00FE6325"/>
    <w:rPr>
      <w:color w:val="467886" w:themeColor="hyperlink"/>
      <w:u w:val="single"/>
    </w:rPr>
  </w:style>
  <w:style w:type="character" w:styleId="UnresolvedMention">
    <w:name w:val="Unresolved Mention"/>
    <w:basedOn w:val="DefaultParagraphFont"/>
    <w:uiPriority w:val="99"/>
    <w:semiHidden/>
    <w:unhideWhenUsed/>
    <w:rsid w:val="00FE63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ttps://bumenn.is/wp-content/uploads/2019/11/B&#250;menn-S&#246;luskilm&#225;la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Tilboð um kaup á búseturétti</dc:title>
  <dc:subject/>
  <dc:creator>Aldís Ósk Unnarsdóttir</dc:creator>
  <cp:keywords>DAGooaFpvfY,BAGRyAVX_eg,0</cp:keywords>
  <cp:lastModifiedBy>Keneva Kunz</cp:lastModifiedBy>
  <cp:revision>3</cp:revision>
  <dcterms:created xsi:type="dcterms:W3CDTF">2025-06-01T10:56:00Z</dcterms:created>
  <dcterms:modified xsi:type="dcterms:W3CDTF">2025-06-01T11:00:00Z</dcterms:modified>
</cp:coreProperties>
</file>